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EB" w:rsidRDefault="004165EB"/>
    <w:p w:rsidR="004165EB" w:rsidRPr="003D4D52" w:rsidRDefault="00782CD5" w:rsidP="004165EB">
      <w:pPr>
        <w:jc w:val="center"/>
        <w:rPr>
          <w:rFonts w:ascii="TheSans B4 SemiLight" w:hAnsi="TheSans B4 SemiLight"/>
          <w:b/>
          <w:sz w:val="24"/>
          <w:szCs w:val="24"/>
        </w:rPr>
      </w:pPr>
      <w:r>
        <w:rPr>
          <w:rFonts w:ascii="TheSans B4 SemiLight" w:hAnsi="TheSans B4 SemiLight"/>
          <w:b/>
          <w:sz w:val="24"/>
          <w:szCs w:val="24"/>
        </w:rPr>
        <w:t>Ergebnisprotokoll</w:t>
      </w:r>
    </w:p>
    <w:p w:rsidR="004165EB" w:rsidRPr="004165EB" w:rsidRDefault="004165EB" w:rsidP="004165EB">
      <w:pPr>
        <w:jc w:val="center"/>
        <w:rPr>
          <w:rFonts w:ascii="TheSans B4 SemiLight" w:hAnsi="TheSans B4 SemiLight"/>
          <w:sz w:val="24"/>
          <w:szCs w:val="24"/>
        </w:rPr>
      </w:pPr>
    </w:p>
    <w:p w:rsidR="00053DE0" w:rsidRPr="004165EB" w:rsidRDefault="004165EB" w:rsidP="004165EB">
      <w:pPr>
        <w:jc w:val="center"/>
        <w:rPr>
          <w:rFonts w:ascii="TheSans B4 SemiLight" w:hAnsi="TheSans B4 SemiLight"/>
          <w:sz w:val="24"/>
          <w:szCs w:val="24"/>
        </w:rPr>
      </w:pPr>
      <w:r w:rsidRPr="004165EB">
        <w:rPr>
          <w:rFonts w:ascii="TheSans B4 SemiLight" w:hAnsi="TheSans B4 SemiLight"/>
          <w:sz w:val="24"/>
          <w:szCs w:val="24"/>
        </w:rPr>
        <w:t>Kommunales Energieeffizienznetzwerk „</w:t>
      </w:r>
      <w:r w:rsidR="00C0050A">
        <w:rPr>
          <w:rFonts w:ascii="TheSans B4 SemiLight" w:hAnsi="TheSans B4 SemiLight"/>
          <w:sz w:val="24"/>
          <w:szCs w:val="24"/>
        </w:rPr>
        <w:t>XY</w:t>
      </w:r>
      <w:bookmarkStart w:id="0" w:name="_GoBack"/>
      <w:bookmarkEnd w:id="0"/>
      <w:r w:rsidRPr="004165EB">
        <w:rPr>
          <w:rFonts w:ascii="TheSans B4 SemiLight" w:hAnsi="TheSans B4 SemiLight"/>
          <w:sz w:val="24"/>
          <w:szCs w:val="24"/>
        </w:rPr>
        <w:t>“</w:t>
      </w:r>
    </w:p>
    <w:p w:rsidR="004165EB" w:rsidRPr="004165EB" w:rsidRDefault="007F5F72" w:rsidP="004165EB">
      <w:pPr>
        <w:jc w:val="center"/>
        <w:rPr>
          <w:rFonts w:ascii="TheSans B4 SemiLight" w:hAnsi="TheSans B4 SemiLight"/>
          <w:sz w:val="24"/>
          <w:szCs w:val="24"/>
        </w:rPr>
      </w:pPr>
      <w:r>
        <w:rPr>
          <w:rFonts w:ascii="TheSans B4 SemiLight" w:hAnsi="TheSans B4 SemiLight"/>
          <w:sz w:val="24"/>
          <w:szCs w:val="24"/>
        </w:rPr>
        <w:t>Erstes Netzwerktreffen 15.03.2016</w:t>
      </w:r>
    </w:p>
    <w:p w:rsidR="004165EB" w:rsidRPr="00CC19E5" w:rsidRDefault="004165EB">
      <w:pPr>
        <w:rPr>
          <w:rFonts w:ascii="TheSans B4 SemiLight" w:hAnsi="TheSans B4 SemiLight"/>
        </w:rPr>
      </w:pPr>
    </w:p>
    <w:p w:rsidR="00782CD5" w:rsidRPr="00CC19E5" w:rsidRDefault="00782CD5">
      <w:pPr>
        <w:rPr>
          <w:rFonts w:ascii="TheSans B4 SemiLight" w:hAnsi="TheSans B4 SemiLight"/>
          <w:b/>
        </w:rPr>
      </w:pPr>
      <w:r w:rsidRPr="00CC19E5">
        <w:rPr>
          <w:rFonts w:ascii="TheSans B4 SemiLight" w:hAnsi="TheSans B4 SemiLight"/>
          <w:b/>
        </w:rPr>
        <w:t>Anwesenheit:</w:t>
      </w:r>
    </w:p>
    <w:p w:rsidR="004165EB" w:rsidRPr="00CC19E5" w:rsidRDefault="00AA1810">
      <w:pPr>
        <w:rPr>
          <w:rFonts w:ascii="TheSans B4 SemiLight" w:hAnsi="TheSans B4 SemiLight"/>
        </w:rPr>
      </w:pPr>
      <w:r>
        <w:rPr>
          <w:rFonts w:ascii="TheSans B4 SemiLight" w:hAnsi="TheSans B4 SemiLight"/>
        </w:rPr>
        <w:t>6 von 8 Netzwerkbeauftragten</w:t>
      </w:r>
      <w:r w:rsidR="00782CD5" w:rsidRPr="00CC19E5">
        <w:rPr>
          <w:rFonts w:ascii="TheSans B4 SemiLight" w:hAnsi="TheSans B4 SemiLight"/>
        </w:rPr>
        <w:t xml:space="preserve"> waren anwesend. Einer entschuldigt.</w:t>
      </w:r>
    </w:p>
    <w:p w:rsidR="00782CD5" w:rsidRPr="00CC19E5" w:rsidRDefault="00782CD5">
      <w:pPr>
        <w:rPr>
          <w:rFonts w:ascii="TheSans B4 SemiLight" w:hAnsi="TheSans B4 SemiLight"/>
        </w:rPr>
      </w:pPr>
    </w:p>
    <w:p w:rsidR="00782CD5" w:rsidRPr="00CC19E5" w:rsidRDefault="00782CD5">
      <w:pPr>
        <w:rPr>
          <w:rFonts w:ascii="TheSans B4 SemiLight" w:hAnsi="TheSans B4 SemiLight"/>
          <w:b/>
        </w:rPr>
      </w:pPr>
      <w:r w:rsidRPr="00CC19E5">
        <w:rPr>
          <w:rFonts w:ascii="TheSans B4 SemiLight" w:hAnsi="TheSans B4 SemiLight"/>
          <w:b/>
        </w:rPr>
        <w:t xml:space="preserve">Prioritäten der Netzwerkarbeit: </w:t>
      </w:r>
    </w:p>
    <w:p w:rsidR="00782CD5" w:rsidRPr="00CC19E5" w:rsidRDefault="00782CD5">
      <w:pPr>
        <w:rPr>
          <w:rFonts w:ascii="TheSans B4 SemiLight" w:hAnsi="TheSans B4 SemiLight"/>
        </w:rPr>
      </w:pPr>
      <w:r w:rsidRPr="00CC19E5">
        <w:rPr>
          <w:rFonts w:ascii="TheSans B4 SemiLight" w:hAnsi="TheSans B4 SemiLight"/>
        </w:rPr>
        <w:t>Organisation des Energiemanagements in der Verwaltung. Akteure, Aufgaben, Managementsystem. Dies wird das Thema beim nächsten Netzwerktreffen am 12.4. sein.</w:t>
      </w:r>
    </w:p>
    <w:p w:rsidR="00782CD5" w:rsidRPr="00CC19E5" w:rsidRDefault="00782CD5">
      <w:pPr>
        <w:rPr>
          <w:rFonts w:ascii="TheSans B4 SemiLight" w:hAnsi="TheSans B4 SemiLight"/>
        </w:rPr>
      </w:pPr>
      <w:r w:rsidRPr="00CC19E5">
        <w:rPr>
          <w:rFonts w:ascii="TheSans B4 SemiLight" w:hAnsi="TheSans B4 SemiLight"/>
        </w:rPr>
        <w:t>Nutzersensibilisierung: Gemeinsame Beantragung und Durchführung eines Fifty-Fifty-Projektes mit den Schulen der Netzwerkkommunen. KEA prüft zunächst die Fördermöglichkeiten.</w:t>
      </w:r>
      <w:r w:rsidR="005B1B4F">
        <w:rPr>
          <w:rFonts w:ascii="TheSans B4 SemiLight" w:hAnsi="TheSans B4 SemiLight"/>
        </w:rPr>
        <w:t xml:space="preserve"> Energietechnischer Berater stellt hilft bei der Antragstellung und Bewerbung bei den Schulen.</w:t>
      </w:r>
    </w:p>
    <w:p w:rsidR="00782CD5" w:rsidRPr="00CC19E5" w:rsidRDefault="00782CD5">
      <w:pPr>
        <w:rPr>
          <w:rFonts w:ascii="TheSans B4 SemiLight" w:hAnsi="TheSans B4 SemiLight"/>
        </w:rPr>
      </w:pPr>
      <w:r w:rsidRPr="00CC19E5">
        <w:rPr>
          <w:rFonts w:ascii="TheSans B4 SemiLight" w:hAnsi="TheSans B4 SemiLight"/>
        </w:rPr>
        <w:t>Hausmeisterschulung: Nach erfolgter Klärung der Aufgaben der Hausmeister bzw. „Liegenschaftsbetreuer“ erfolgen gemeinsame Schulungen durch u.a. den energietechnischen Berater.</w:t>
      </w:r>
    </w:p>
    <w:p w:rsidR="00782CD5" w:rsidRDefault="00782CD5">
      <w:pPr>
        <w:rPr>
          <w:rFonts w:ascii="TheSans B4 SemiLight" w:hAnsi="TheSans B4 SemiLight"/>
        </w:rPr>
      </w:pPr>
      <w:r w:rsidRPr="00CC19E5">
        <w:rPr>
          <w:rFonts w:ascii="TheSans B4 SemiLight" w:hAnsi="TheSans B4 SemiLight"/>
        </w:rPr>
        <w:t>Software für das Energiemanagement. Während der Netzwerklaufzeit kann die Software „Interwatt“ der KEA genutzt werden</w:t>
      </w:r>
      <w:r w:rsidR="00C546FC" w:rsidRPr="00CC19E5">
        <w:rPr>
          <w:rFonts w:ascii="TheSans B4 SemiLight" w:hAnsi="TheSans B4 SemiLight"/>
        </w:rPr>
        <w:t xml:space="preserve">. Es erfolgt eine Aufgabenaufteilung KEA/Kommune in schwierige und einfache </w:t>
      </w:r>
      <w:r w:rsidR="00CC19E5">
        <w:rPr>
          <w:rFonts w:ascii="TheSans B4 SemiLight" w:hAnsi="TheSans B4 SemiLight"/>
        </w:rPr>
        <w:t>Bedienelemente. Die KEA führt eine entsprechende Schulung durch (</w:t>
      </w:r>
      <w:proofErr w:type="spellStart"/>
      <w:r w:rsidR="00CC19E5">
        <w:rPr>
          <w:rFonts w:ascii="TheSans B4 SemiLight" w:hAnsi="TheSans B4 SemiLight"/>
        </w:rPr>
        <w:t>event</w:t>
      </w:r>
      <w:proofErr w:type="spellEnd"/>
      <w:r w:rsidR="00CC19E5">
        <w:rPr>
          <w:rFonts w:ascii="TheSans B4 SemiLight" w:hAnsi="TheSans B4 SemiLight"/>
        </w:rPr>
        <w:t>. 3. Netzwerktreffen). Die KEA prüft die Nutzung der Software über die Netzwerklaufzeit hinaus.</w:t>
      </w:r>
    </w:p>
    <w:p w:rsidR="00A72F35" w:rsidRDefault="00A72F35">
      <w:pPr>
        <w:rPr>
          <w:rFonts w:ascii="TheSans B4 SemiLight" w:hAnsi="TheSans B4 SemiLight"/>
        </w:rPr>
      </w:pPr>
      <w:r>
        <w:rPr>
          <w:rFonts w:ascii="TheSans B4 SemiLight" w:hAnsi="TheSans B4 SemiLight"/>
        </w:rPr>
        <w:t>Präsentation einer innovativen Maßnahme zum Klimaschutz..</w:t>
      </w:r>
    </w:p>
    <w:p w:rsidR="00CC19E5" w:rsidRDefault="00CC19E5">
      <w:pPr>
        <w:rPr>
          <w:rFonts w:ascii="TheSans B4 SemiLight" w:hAnsi="TheSans B4 SemiLight"/>
        </w:rPr>
      </w:pPr>
    </w:p>
    <w:p w:rsidR="00CC19E5" w:rsidRPr="00CC19E5" w:rsidRDefault="005603A5">
      <w:pPr>
        <w:rPr>
          <w:rFonts w:ascii="TheSans B4 SemiLight" w:hAnsi="TheSans B4 SemiLight"/>
          <w:b/>
        </w:rPr>
      </w:pPr>
      <w:r>
        <w:rPr>
          <w:rFonts w:ascii="TheSans B4 SemiLight" w:hAnsi="TheSans B4 SemiLight"/>
          <w:b/>
        </w:rPr>
        <w:t xml:space="preserve">Durchführung der </w:t>
      </w:r>
      <w:r w:rsidR="00CC19E5" w:rsidRPr="00CC19E5">
        <w:rPr>
          <w:rFonts w:ascii="TheSans B4 SemiLight" w:hAnsi="TheSans B4 SemiLight"/>
          <w:b/>
        </w:rPr>
        <w:t>Energietechnische</w:t>
      </w:r>
      <w:r>
        <w:rPr>
          <w:rFonts w:ascii="TheSans B4 SemiLight" w:hAnsi="TheSans B4 SemiLight"/>
          <w:b/>
        </w:rPr>
        <w:t>n</w:t>
      </w:r>
      <w:r w:rsidR="00CC19E5" w:rsidRPr="00CC19E5">
        <w:rPr>
          <w:rFonts w:ascii="TheSans B4 SemiLight" w:hAnsi="TheSans B4 SemiLight"/>
          <w:b/>
        </w:rPr>
        <w:t xml:space="preserve"> Beratungen</w:t>
      </w:r>
    </w:p>
    <w:p w:rsidR="00CC19E5" w:rsidRDefault="00CC19E5">
      <w:pPr>
        <w:rPr>
          <w:rFonts w:ascii="TheSans B4 SemiLight" w:hAnsi="TheSans B4 SemiLight"/>
        </w:rPr>
      </w:pPr>
      <w:r>
        <w:rPr>
          <w:rFonts w:ascii="TheSans B4 SemiLight" w:hAnsi="TheSans B4 SemiLight"/>
        </w:rPr>
        <w:t>Nächste Schritte:</w:t>
      </w:r>
    </w:p>
    <w:p w:rsidR="00D5111B" w:rsidRPr="00CC19E5" w:rsidRDefault="00FB0F1A" w:rsidP="00CC19E5">
      <w:pPr>
        <w:numPr>
          <w:ilvl w:val="0"/>
          <w:numId w:val="1"/>
        </w:numPr>
        <w:rPr>
          <w:rFonts w:ascii="TheSans B4 SemiLight" w:hAnsi="TheSans B4 SemiLight"/>
        </w:rPr>
      </w:pPr>
      <w:r w:rsidRPr="00CC19E5">
        <w:rPr>
          <w:rFonts w:ascii="TheSans B4 SemiLight" w:hAnsi="TheSans B4 SemiLight"/>
        </w:rPr>
        <w:t>Vo</w:t>
      </w:r>
      <w:r w:rsidR="00CC19E5">
        <w:rPr>
          <w:rFonts w:ascii="TheSans B4 SemiLight" w:hAnsi="TheSans B4 SemiLight"/>
        </w:rPr>
        <w:t xml:space="preserve">rschläge für weitere </w:t>
      </w:r>
      <w:r w:rsidRPr="00CC19E5">
        <w:rPr>
          <w:rFonts w:ascii="TheSans B4 SemiLight" w:hAnsi="TheSans B4 SemiLight"/>
        </w:rPr>
        <w:t>B</w:t>
      </w:r>
      <w:r w:rsidR="00CC19E5">
        <w:rPr>
          <w:rFonts w:ascii="TheSans B4 SemiLight" w:hAnsi="TheSans B4 SemiLight"/>
        </w:rPr>
        <w:t>erater</w:t>
      </w:r>
      <w:r w:rsidR="005B1B4F">
        <w:rPr>
          <w:rFonts w:ascii="TheSans B4 SemiLight" w:hAnsi="TheSans B4 SemiLight"/>
        </w:rPr>
        <w:t xml:space="preserve"> (</w:t>
      </w:r>
      <w:proofErr w:type="spellStart"/>
      <w:r w:rsidR="005B1B4F">
        <w:rPr>
          <w:rFonts w:ascii="TheSans B4 SemiLight" w:hAnsi="TheSans B4 SemiLight"/>
        </w:rPr>
        <w:t>etB</w:t>
      </w:r>
      <w:proofErr w:type="spellEnd"/>
      <w:r w:rsidR="005B1B4F">
        <w:rPr>
          <w:rFonts w:ascii="TheSans B4 SemiLight" w:hAnsi="TheSans B4 SemiLight"/>
        </w:rPr>
        <w:t>)</w:t>
      </w:r>
      <w:r w:rsidR="00CC19E5">
        <w:rPr>
          <w:rFonts w:ascii="TheSans B4 SemiLight" w:hAnsi="TheSans B4 SemiLight"/>
        </w:rPr>
        <w:t>: Teilnehmer (TN) an KEA senden</w:t>
      </w:r>
    </w:p>
    <w:p w:rsidR="00D5111B" w:rsidRDefault="00FB0F1A" w:rsidP="00CC19E5">
      <w:pPr>
        <w:numPr>
          <w:ilvl w:val="0"/>
          <w:numId w:val="1"/>
        </w:numPr>
        <w:rPr>
          <w:rFonts w:ascii="TheSans B4 SemiLight" w:hAnsi="TheSans B4 SemiLight"/>
        </w:rPr>
      </w:pPr>
      <w:r w:rsidRPr="00CC19E5">
        <w:rPr>
          <w:rFonts w:ascii="TheSans B4 SemiLight" w:hAnsi="TheSans B4 SemiLight"/>
        </w:rPr>
        <w:lastRenderedPageBreak/>
        <w:t xml:space="preserve">Netzwerkmanager nimmt mit </w:t>
      </w:r>
      <w:proofErr w:type="spellStart"/>
      <w:r w:rsidRPr="00CC19E5">
        <w:rPr>
          <w:rFonts w:ascii="TheSans B4 SemiLight" w:hAnsi="TheSans B4 SemiLight"/>
        </w:rPr>
        <w:t>etB</w:t>
      </w:r>
      <w:proofErr w:type="spellEnd"/>
      <w:r w:rsidRPr="00CC19E5">
        <w:rPr>
          <w:rFonts w:ascii="TheSans B4 SemiLight" w:hAnsi="TheSans B4 SemiLight"/>
        </w:rPr>
        <w:t xml:space="preserve"> Kontakt auf und prüft Bereitschaft und Befähigung.</w:t>
      </w:r>
    </w:p>
    <w:p w:rsidR="003867F4" w:rsidRPr="00CC19E5" w:rsidRDefault="003867F4" w:rsidP="00CC19E5">
      <w:pPr>
        <w:numPr>
          <w:ilvl w:val="0"/>
          <w:numId w:val="1"/>
        </w:numPr>
        <w:rPr>
          <w:rFonts w:ascii="TheSans B4 SemiLight" w:hAnsi="TheSans B4 SemiLight"/>
        </w:rPr>
      </w:pPr>
      <w:r>
        <w:rPr>
          <w:rFonts w:ascii="TheSans B4 SemiLight" w:hAnsi="TheSans B4 SemiLight"/>
        </w:rPr>
        <w:t xml:space="preserve">Mögliche </w:t>
      </w:r>
      <w:proofErr w:type="spellStart"/>
      <w:r>
        <w:rPr>
          <w:rFonts w:ascii="TheSans B4 SemiLight" w:hAnsi="TheSans B4 SemiLight"/>
        </w:rPr>
        <w:t>etB</w:t>
      </w:r>
      <w:proofErr w:type="spellEnd"/>
      <w:r>
        <w:rPr>
          <w:rFonts w:ascii="TheSans B4 SemiLight" w:hAnsi="TheSans B4 SemiLight"/>
        </w:rPr>
        <w:t xml:space="preserve"> sollen sich dem Netzwerk vorstellen.</w:t>
      </w:r>
    </w:p>
    <w:p w:rsidR="00D5111B" w:rsidRPr="00CC19E5" w:rsidRDefault="00FB0F1A" w:rsidP="00CC19E5">
      <w:pPr>
        <w:numPr>
          <w:ilvl w:val="0"/>
          <w:numId w:val="1"/>
        </w:numPr>
        <w:rPr>
          <w:rFonts w:ascii="TheSans B4 SemiLight" w:hAnsi="TheSans B4 SemiLight"/>
        </w:rPr>
      </w:pPr>
      <w:r w:rsidRPr="00CC19E5">
        <w:rPr>
          <w:rFonts w:ascii="TheSans B4 SemiLight" w:hAnsi="TheSans B4 SemiLight"/>
        </w:rPr>
        <w:t>Netzwerkmanager erstellt einen Vertragsentwurf Kommune/</w:t>
      </w:r>
      <w:proofErr w:type="spellStart"/>
      <w:r w:rsidRPr="00CC19E5">
        <w:rPr>
          <w:rFonts w:ascii="TheSans B4 SemiLight" w:hAnsi="TheSans B4 SemiLight"/>
        </w:rPr>
        <w:t>etB</w:t>
      </w:r>
      <w:proofErr w:type="spellEnd"/>
      <w:r w:rsidRPr="00CC19E5">
        <w:rPr>
          <w:rFonts w:ascii="TheSans B4 SemiLight" w:hAnsi="TheSans B4 SemiLight"/>
        </w:rPr>
        <w:t>.</w:t>
      </w:r>
    </w:p>
    <w:p w:rsidR="00D5111B" w:rsidRDefault="00FB0F1A" w:rsidP="00CC19E5">
      <w:pPr>
        <w:numPr>
          <w:ilvl w:val="0"/>
          <w:numId w:val="1"/>
        </w:numPr>
        <w:rPr>
          <w:rFonts w:ascii="TheSans B4 SemiLight" w:hAnsi="TheSans B4 SemiLight"/>
        </w:rPr>
      </w:pPr>
      <w:r w:rsidRPr="00CC19E5">
        <w:rPr>
          <w:rFonts w:ascii="TheSans B4 SemiLight" w:hAnsi="TheSans B4 SemiLight"/>
        </w:rPr>
        <w:t xml:space="preserve">Kommune beauftragt </w:t>
      </w:r>
      <w:proofErr w:type="spellStart"/>
      <w:r w:rsidRPr="00CC19E5">
        <w:rPr>
          <w:rFonts w:ascii="TheSans B4 SemiLight" w:hAnsi="TheSans B4 SemiLight"/>
        </w:rPr>
        <w:t>etB</w:t>
      </w:r>
      <w:proofErr w:type="spellEnd"/>
      <w:r w:rsidRPr="00CC19E5">
        <w:rPr>
          <w:rFonts w:ascii="TheSans B4 SemiLight" w:hAnsi="TheSans B4 SemiLight"/>
        </w:rPr>
        <w:t xml:space="preserve"> und lässt Beratungen durchführen.</w:t>
      </w:r>
    </w:p>
    <w:p w:rsidR="00CC19E5" w:rsidRPr="00CC19E5" w:rsidRDefault="00CC19E5" w:rsidP="00CC19E5">
      <w:pPr>
        <w:numPr>
          <w:ilvl w:val="0"/>
          <w:numId w:val="1"/>
        </w:numPr>
        <w:rPr>
          <w:rFonts w:ascii="TheSans B4 SemiLight" w:hAnsi="TheSans B4 SemiLight"/>
        </w:rPr>
      </w:pPr>
      <w:r>
        <w:rPr>
          <w:rFonts w:ascii="TheSans B4 SemiLight" w:hAnsi="TheSans B4 SemiLight"/>
        </w:rPr>
        <w:t xml:space="preserve">KEA prüft, ob auch diese Funktion </w:t>
      </w:r>
      <w:r w:rsidR="005B1B4F">
        <w:rPr>
          <w:rFonts w:ascii="TheSans B4 SemiLight" w:hAnsi="TheSans B4 SemiLight"/>
        </w:rPr>
        <w:t xml:space="preserve">durch die KEA </w:t>
      </w:r>
      <w:r>
        <w:rPr>
          <w:rFonts w:ascii="TheSans B4 SemiLight" w:hAnsi="TheSans B4 SemiLight"/>
        </w:rPr>
        <w:t>übernommen werden kann, die Beratungen jedoch von Firmen durchgeführt werden, die von den TN benannt werden.</w:t>
      </w:r>
      <w:r w:rsidR="005B1B4F">
        <w:rPr>
          <w:rFonts w:ascii="TheSans B4 SemiLight" w:hAnsi="TheSans B4 SemiLight"/>
        </w:rPr>
        <w:t xml:space="preserve"> TN legen den Leistungsumfang fest, KEA beauftragt, TN für Qualität der Leistung zuständig.</w:t>
      </w:r>
    </w:p>
    <w:p w:rsidR="003867F4" w:rsidRDefault="003867F4">
      <w:pPr>
        <w:rPr>
          <w:rFonts w:ascii="TheSans B4 SemiLight" w:hAnsi="TheSans B4 SemiLight"/>
        </w:rPr>
      </w:pPr>
    </w:p>
    <w:p w:rsidR="00CC19E5" w:rsidRPr="003867F4" w:rsidRDefault="003867F4">
      <w:pPr>
        <w:rPr>
          <w:rFonts w:ascii="TheSans B4 SemiLight" w:hAnsi="TheSans B4 SemiLight"/>
          <w:b/>
        </w:rPr>
      </w:pPr>
      <w:r w:rsidRPr="003867F4">
        <w:rPr>
          <w:rFonts w:ascii="TheSans B4 SemiLight" w:hAnsi="TheSans B4 SemiLight"/>
          <w:b/>
        </w:rPr>
        <w:t>Themen für Fachvorträge</w:t>
      </w:r>
      <w:r w:rsidR="005B1B4F">
        <w:rPr>
          <w:rFonts w:ascii="TheSans B4 SemiLight" w:hAnsi="TheSans B4 SemiLight"/>
          <w:b/>
        </w:rPr>
        <w:t xml:space="preserve"> im Rahmen der Netzwerktreffen</w:t>
      </w:r>
    </w:p>
    <w:p w:rsidR="003867F4" w:rsidRPr="003867F4" w:rsidRDefault="003867F4" w:rsidP="003867F4">
      <w:pPr>
        <w:rPr>
          <w:rFonts w:ascii="TheSans B4 SemiLight" w:hAnsi="TheSans B4 SemiLight"/>
        </w:rPr>
      </w:pPr>
      <w:r w:rsidRPr="003867F4">
        <w:rPr>
          <w:rFonts w:ascii="TheSans B4 SemiLight" w:hAnsi="TheSans B4 SemiLight"/>
        </w:rPr>
        <w:t>Vom Fördergeber vorgegebene Themen:</w:t>
      </w:r>
    </w:p>
    <w:p w:rsidR="00D5111B" w:rsidRPr="003867F4" w:rsidRDefault="003867F4" w:rsidP="003867F4">
      <w:pPr>
        <w:numPr>
          <w:ilvl w:val="0"/>
          <w:numId w:val="2"/>
        </w:numPr>
        <w:rPr>
          <w:rFonts w:ascii="TheSans B4 SemiLight" w:hAnsi="TheSans B4 SemiLight"/>
        </w:rPr>
      </w:pPr>
      <w:r>
        <w:rPr>
          <w:rFonts w:ascii="TheSans B4 SemiLight" w:hAnsi="TheSans B4 SemiLight"/>
        </w:rPr>
        <w:t xml:space="preserve">Methoden der </w:t>
      </w:r>
      <w:r w:rsidR="00FB0F1A" w:rsidRPr="003867F4">
        <w:rPr>
          <w:rFonts w:ascii="TheSans B4 SemiLight" w:hAnsi="TheSans B4 SemiLight"/>
        </w:rPr>
        <w:t>Wirtschaftlichkeitsberechnung</w:t>
      </w:r>
    </w:p>
    <w:p w:rsidR="00D5111B" w:rsidRPr="003867F4" w:rsidRDefault="00FB0F1A" w:rsidP="003867F4">
      <w:pPr>
        <w:numPr>
          <w:ilvl w:val="0"/>
          <w:numId w:val="2"/>
        </w:numPr>
        <w:rPr>
          <w:rFonts w:ascii="TheSans B4 SemiLight" w:hAnsi="TheSans B4 SemiLight"/>
        </w:rPr>
      </w:pPr>
      <w:r w:rsidRPr="003867F4">
        <w:rPr>
          <w:rFonts w:ascii="TheSans B4 SemiLight" w:hAnsi="TheSans B4 SemiLight"/>
        </w:rPr>
        <w:t>Energiemanagement bzw. –</w:t>
      </w:r>
      <w:proofErr w:type="spellStart"/>
      <w:r w:rsidRPr="003867F4">
        <w:rPr>
          <w:rFonts w:ascii="TheSans B4 SemiLight" w:hAnsi="TheSans B4 SemiLight"/>
        </w:rPr>
        <w:t>controlling</w:t>
      </w:r>
      <w:proofErr w:type="spellEnd"/>
    </w:p>
    <w:p w:rsidR="00D5111B" w:rsidRPr="003867F4" w:rsidRDefault="00FB0F1A" w:rsidP="003867F4">
      <w:pPr>
        <w:numPr>
          <w:ilvl w:val="0"/>
          <w:numId w:val="2"/>
        </w:numPr>
        <w:rPr>
          <w:rFonts w:ascii="TheSans B4 SemiLight" w:hAnsi="TheSans B4 SemiLight"/>
        </w:rPr>
      </w:pPr>
      <w:proofErr w:type="spellStart"/>
      <w:r w:rsidRPr="003867F4">
        <w:rPr>
          <w:rFonts w:ascii="TheSans B4 SemiLight" w:hAnsi="TheSans B4 SemiLight"/>
        </w:rPr>
        <w:t>Contracting</w:t>
      </w:r>
      <w:proofErr w:type="spellEnd"/>
    </w:p>
    <w:p w:rsidR="00D5111B" w:rsidRPr="003867F4" w:rsidRDefault="00FB0F1A" w:rsidP="003867F4">
      <w:pPr>
        <w:numPr>
          <w:ilvl w:val="0"/>
          <w:numId w:val="2"/>
        </w:numPr>
        <w:rPr>
          <w:rFonts w:ascii="TheSans B4 SemiLight" w:hAnsi="TheSans B4 SemiLight"/>
        </w:rPr>
      </w:pPr>
      <w:r w:rsidRPr="003867F4">
        <w:rPr>
          <w:rFonts w:ascii="TheSans B4 SemiLight" w:hAnsi="TheSans B4 SemiLight"/>
        </w:rPr>
        <w:t>Energieeinkauf und die Darstellung der gesetzlichen Rahmenbedingungen</w:t>
      </w:r>
    </w:p>
    <w:p w:rsidR="00D5111B" w:rsidRDefault="00FB0F1A" w:rsidP="003867F4">
      <w:pPr>
        <w:numPr>
          <w:ilvl w:val="0"/>
          <w:numId w:val="2"/>
        </w:numPr>
        <w:rPr>
          <w:rFonts w:ascii="TheSans B4 SemiLight" w:hAnsi="TheSans B4 SemiLight"/>
        </w:rPr>
      </w:pPr>
      <w:r w:rsidRPr="003867F4">
        <w:rPr>
          <w:rFonts w:ascii="TheSans B4 SemiLight" w:hAnsi="TheSans B4 SemiLight"/>
        </w:rPr>
        <w:t xml:space="preserve">Hinweise </w:t>
      </w:r>
      <w:r w:rsidR="003867F4">
        <w:rPr>
          <w:rFonts w:ascii="TheSans B4 SemiLight" w:hAnsi="TheSans B4 SemiLight"/>
        </w:rPr>
        <w:t>zu bestehenden Förderprogrammen</w:t>
      </w:r>
    </w:p>
    <w:p w:rsidR="003867F4" w:rsidRDefault="003867F4" w:rsidP="003867F4">
      <w:pPr>
        <w:rPr>
          <w:rFonts w:ascii="TheSans B4 SemiLight" w:hAnsi="TheSans B4 SemiLight"/>
        </w:rPr>
      </w:pPr>
      <w:r>
        <w:rPr>
          <w:rFonts w:ascii="TheSans B4 SemiLight" w:hAnsi="TheSans B4 SemiLight"/>
        </w:rPr>
        <w:t>Von den TN genannte Themen:</w:t>
      </w:r>
    </w:p>
    <w:p w:rsidR="003867F4" w:rsidRDefault="003867F4" w:rsidP="003867F4">
      <w:pPr>
        <w:numPr>
          <w:ilvl w:val="0"/>
          <w:numId w:val="2"/>
        </w:numPr>
        <w:rPr>
          <w:rFonts w:ascii="TheSans B4 SemiLight" w:hAnsi="TheSans B4 SemiLight"/>
        </w:rPr>
      </w:pPr>
      <w:r>
        <w:rPr>
          <w:rFonts w:ascii="TheSans B4 SemiLight" w:hAnsi="TheSans B4 SemiLight"/>
        </w:rPr>
        <w:t>Unterschiedliche Wärmeversorgungsvarianten (Vorteile/Nachteile) für unterschiedlich genutzte Gebäude</w:t>
      </w:r>
    </w:p>
    <w:p w:rsidR="003867F4" w:rsidRDefault="003867F4" w:rsidP="003867F4">
      <w:pPr>
        <w:numPr>
          <w:ilvl w:val="0"/>
          <w:numId w:val="2"/>
        </w:numPr>
        <w:rPr>
          <w:rFonts w:ascii="TheSans B4 SemiLight" w:hAnsi="TheSans B4 SemiLight"/>
        </w:rPr>
      </w:pPr>
      <w:r>
        <w:rPr>
          <w:rFonts w:ascii="TheSans B4 SemiLight" w:hAnsi="TheSans B4 SemiLight"/>
        </w:rPr>
        <w:t>Nutzersensibilisierung in Flüchtlingsunterkünften</w:t>
      </w:r>
    </w:p>
    <w:p w:rsidR="003867F4" w:rsidRDefault="003867F4" w:rsidP="003867F4">
      <w:pPr>
        <w:numPr>
          <w:ilvl w:val="0"/>
          <w:numId w:val="2"/>
        </w:numPr>
        <w:rPr>
          <w:rFonts w:ascii="TheSans B4 SemiLight" w:hAnsi="TheSans B4 SemiLight"/>
        </w:rPr>
      </w:pPr>
      <w:r>
        <w:rPr>
          <w:rFonts w:ascii="TheSans B4 SemiLight" w:hAnsi="TheSans B4 SemiLight"/>
        </w:rPr>
        <w:t>Energiekennwerte zur Beurteilung der Energieeffizienz</w:t>
      </w:r>
    </w:p>
    <w:p w:rsidR="003867F4" w:rsidRDefault="003867F4" w:rsidP="003867F4">
      <w:pPr>
        <w:numPr>
          <w:ilvl w:val="0"/>
          <w:numId w:val="2"/>
        </w:numPr>
        <w:rPr>
          <w:rFonts w:ascii="TheSans B4 SemiLight" w:hAnsi="TheSans B4 SemiLight"/>
        </w:rPr>
      </w:pPr>
      <w:r>
        <w:rPr>
          <w:rFonts w:ascii="TheSans B4 SemiLight" w:hAnsi="TheSans B4 SemiLight"/>
        </w:rPr>
        <w:t>Nahwärmeinseln</w:t>
      </w:r>
    </w:p>
    <w:p w:rsidR="003867F4" w:rsidRDefault="003867F4" w:rsidP="003867F4">
      <w:pPr>
        <w:numPr>
          <w:ilvl w:val="0"/>
          <w:numId w:val="2"/>
        </w:numPr>
        <w:rPr>
          <w:rFonts w:ascii="TheSans B4 SemiLight" w:hAnsi="TheSans B4 SemiLight"/>
        </w:rPr>
      </w:pPr>
      <w:r>
        <w:rPr>
          <w:rFonts w:ascii="TheSans B4 SemiLight" w:hAnsi="TheSans B4 SemiLight"/>
        </w:rPr>
        <w:t>Umstellung der Beleuchtung in Gebäuden</w:t>
      </w:r>
    </w:p>
    <w:p w:rsidR="003867F4" w:rsidRPr="003867F4" w:rsidRDefault="003867F4" w:rsidP="003867F4">
      <w:pPr>
        <w:ind w:left="720"/>
        <w:rPr>
          <w:rFonts w:ascii="TheSans B4 SemiLight" w:hAnsi="TheSans B4 SemiLight"/>
        </w:rPr>
      </w:pPr>
    </w:p>
    <w:p w:rsidR="003867F4" w:rsidRPr="00CC19E5" w:rsidRDefault="005B1B4F">
      <w:pPr>
        <w:rPr>
          <w:rFonts w:ascii="TheSans B4 SemiLight" w:hAnsi="TheSans B4 SemiLight"/>
        </w:rPr>
      </w:pPr>
      <w:r>
        <w:rPr>
          <w:rFonts w:ascii="TheSans B4 SemiLight" w:hAnsi="TheSans B4 SemiLight"/>
        </w:rPr>
        <w:t>Claus Greiser, KEA, 16.3.2016</w:t>
      </w:r>
    </w:p>
    <w:sectPr w:rsidR="003867F4" w:rsidRPr="00CC19E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46" w:rsidRDefault="00442D46" w:rsidP="004165EB">
      <w:pPr>
        <w:spacing w:after="0" w:line="240" w:lineRule="auto"/>
      </w:pPr>
      <w:r>
        <w:separator/>
      </w:r>
    </w:p>
  </w:endnote>
  <w:endnote w:type="continuationSeparator" w:id="0">
    <w:p w:rsidR="00442D46" w:rsidRDefault="00442D46" w:rsidP="0041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ans B4 SemiLight">
    <w:panose1 w:val="000B0500000000000000"/>
    <w:charset w:val="00"/>
    <w:family w:val="swiss"/>
    <w:pitch w:val="variable"/>
    <w:sig w:usb0="8000006F" w:usb1="5000200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46" w:rsidRDefault="00442D46" w:rsidP="004165EB">
      <w:pPr>
        <w:spacing w:after="0" w:line="240" w:lineRule="auto"/>
      </w:pPr>
      <w:r>
        <w:separator/>
      </w:r>
    </w:p>
  </w:footnote>
  <w:footnote w:type="continuationSeparator" w:id="0">
    <w:p w:rsidR="00442D46" w:rsidRDefault="00442D46" w:rsidP="0041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EB" w:rsidRDefault="004165EB" w:rsidP="004165EB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3E8FA489" wp14:editId="27A7FC34">
          <wp:extent cx="2647950" cy="752475"/>
          <wp:effectExtent l="0" t="0" r="0" b="9525"/>
          <wp:docPr id="1" name="Grafik 1" descr="KE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65EB" w:rsidRDefault="004165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0B6"/>
    <w:multiLevelType w:val="hybridMultilevel"/>
    <w:tmpl w:val="72267780"/>
    <w:lvl w:ilvl="0" w:tplc="0902DB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22B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D2C0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7CEB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8E6A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E4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EE4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21C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ECA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04099"/>
    <w:multiLevelType w:val="hybridMultilevel"/>
    <w:tmpl w:val="E1FE878E"/>
    <w:lvl w:ilvl="0" w:tplc="D99A66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8071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F6E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4C5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94BC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646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E3C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305C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0A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EB"/>
    <w:rsid w:val="00053DE0"/>
    <w:rsid w:val="002D2D82"/>
    <w:rsid w:val="003867F4"/>
    <w:rsid w:val="003D4D52"/>
    <w:rsid w:val="004165EB"/>
    <w:rsid w:val="00442D46"/>
    <w:rsid w:val="004701A4"/>
    <w:rsid w:val="005603A5"/>
    <w:rsid w:val="005B1B4F"/>
    <w:rsid w:val="00782CD5"/>
    <w:rsid w:val="007F5F72"/>
    <w:rsid w:val="00943BE4"/>
    <w:rsid w:val="00A72F35"/>
    <w:rsid w:val="00AA1810"/>
    <w:rsid w:val="00C0050A"/>
    <w:rsid w:val="00C546FC"/>
    <w:rsid w:val="00CC19E5"/>
    <w:rsid w:val="00D5111B"/>
    <w:rsid w:val="00E1664D"/>
    <w:rsid w:val="00EF4A58"/>
    <w:rsid w:val="00FB0F1A"/>
    <w:rsid w:val="00FD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6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65EB"/>
  </w:style>
  <w:style w:type="paragraph" w:styleId="Fuzeile">
    <w:name w:val="footer"/>
    <w:basedOn w:val="Standard"/>
    <w:link w:val="FuzeileZchn"/>
    <w:uiPriority w:val="99"/>
    <w:unhideWhenUsed/>
    <w:rsid w:val="00416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65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65E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1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6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65EB"/>
  </w:style>
  <w:style w:type="paragraph" w:styleId="Fuzeile">
    <w:name w:val="footer"/>
    <w:basedOn w:val="Standard"/>
    <w:link w:val="FuzeileZchn"/>
    <w:uiPriority w:val="99"/>
    <w:unhideWhenUsed/>
    <w:rsid w:val="00416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65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65E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1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6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KEA BW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Greiser, Claus [KEA]</dc:creator>
  <cp:lastModifiedBy>Greiser, Claus [KEA]</cp:lastModifiedBy>
  <cp:revision>11</cp:revision>
  <dcterms:created xsi:type="dcterms:W3CDTF">2016-03-16T14:21:00Z</dcterms:created>
  <dcterms:modified xsi:type="dcterms:W3CDTF">2017-10-28T11:26:00Z</dcterms:modified>
</cp:coreProperties>
</file>